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86"/>
        <w:tblW w:w="10598" w:type="dxa"/>
        <w:tblLook w:val="0000"/>
      </w:tblPr>
      <w:tblGrid>
        <w:gridCol w:w="108"/>
        <w:gridCol w:w="10490"/>
      </w:tblGrid>
      <w:tr w:rsidR="00BE3572" w:rsidRPr="00594CB2" w:rsidTr="00EC0281">
        <w:trPr>
          <w:trHeight w:val="240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572" w:rsidRPr="00594CB2" w:rsidRDefault="00BE3572" w:rsidP="00EC0281">
            <w:pPr>
              <w:ind w:left="567" w:hanging="567"/>
              <w:rPr>
                <w:rFonts w:ascii="Times New Roman" w:hAnsi="Times New Roman"/>
              </w:rPr>
            </w:pPr>
            <w:r w:rsidRPr="00594CB2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 xml:space="preserve">                     Заключение</w:t>
            </w:r>
            <w:r w:rsidRPr="00594CB2">
              <w:rPr>
                <w:rFonts w:ascii="Times New Roman" w:hAnsi="Times New Roman"/>
              </w:rPr>
              <w:t xml:space="preserve"> контрольно-счетного инспектора</w:t>
            </w:r>
          </w:p>
          <w:p w:rsidR="00BE3572" w:rsidRPr="00594CB2" w:rsidRDefault="00BE3572" w:rsidP="00EC0281">
            <w:pPr>
              <w:ind w:left="709" w:right="1769"/>
              <w:rPr>
                <w:rFonts w:ascii="Times New Roman" w:hAnsi="Times New Roman"/>
              </w:rPr>
            </w:pPr>
            <w:r w:rsidRPr="00594CB2">
              <w:rPr>
                <w:rFonts w:ascii="Times New Roman" w:hAnsi="Times New Roman"/>
              </w:rPr>
              <w:t xml:space="preserve">        об исполнении бюджета </w:t>
            </w:r>
            <w:proofErr w:type="spellStart"/>
            <w:r w:rsidRPr="00594CB2">
              <w:rPr>
                <w:rFonts w:ascii="Times New Roman" w:hAnsi="Times New Roman"/>
              </w:rPr>
              <w:t>Евгащинс</w:t>
            </w:r>
            <w:r w:rsidR="00176443">
              <w:rPr>
                <w:rFonts w:ascii="Times New Roman" w:hAnsi="Times New Roman"/>
              </w:rPr>
              <w:t>кого</w:t>
            </w:r>
            <w:proofErr w:type="spellEnd"/>
            <w:r w:rsidR="00176443">
              <w:rPr>
                <w:rFonts w:ascii="Times New Roman" w:hAnsi="Times New Roman"/>
              </w:rPr>
              <w:t xml:space="preserve"> сельского поселения за 2023</w:t>
            </w:r>
            <w:r w:rsidRPr="00594CB2">
              <w:rPr>
                <w:rFonts w:ascii="Times New Roman" w:hAnsi="Times New Roman"/>
              </w:rPr>
              <w:t xml:space="preserve"> год</w:t>
            </w:r>
            <w:r w:rsidR="00383CD4">
              <w:rPr>
                <w:rFonts w:ascii="Times New Roman" w:hAnsi="Times New Roman"/>
              </w:rPr>
              <w:t xml:space="preserve"> </w:t>
            </w:r>
          </w:p>
        </w:tc>
      </w:tr>
      <w:tr w:rsidR="00BE3572" w:rsidRPr="00594CB2" w:rsidTr="00EC0281">
        <w:trPr>
          <w:trHeight w:val="1710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EC0281">
            <w:pPr>
              <w:ind w:right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Контрольно-счетный инспектор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Кузнецова С.В., утвержденный решением Совета от 22.11.2022 года № 123, действуя в соответствии с Положением о контрольно- счетном инспекторе от 26.12.2005 года решение № 35,  провел проверку исполнения бюджета за 20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на основании Положения о бюджетном процессе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поселения.</w:t>
            </w:r>
          </w:p>
        </w:tc>
      </w:tr>
      <w:tr w:rsidR="00BE3572" w:rsidRPr="00594CB2" w:rsidTr="00EC0281">
        <w:trPr>
          <w:trHeight w:val="225"/>
        </w:trPr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Бюджет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кого</w:t>
            </w:r>
            <w:proofErr w:type="spellEnd"/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за 2023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по доходной части исполнен в сумме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12240642,59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  рублей, что составляет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100,72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% к уточненному годовому назначению бюджета сельского поселения. </w:t>
            </w:r>
            <w:proofErr w:type="gramStart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классификации, поступление собственных доходов выглядит следующим образом: налог на доходы физических лиц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192441,63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уплаты акцизов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899175,99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единый сельскохозяйственный налог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500,00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налог на имущество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63209,45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земельный налог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222007,58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государственная пошлина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25200,00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использования имущества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31359,91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компенсации затрат государства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106894,29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доходы от денежных взысканий (штрафов) и иных су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мм</w:t>
            </w:r>
            <w:proofErr w:type="gramEnd"/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="00176443" w:rsidRPr="00383CD4">
              <w:rPr>
                <w:rFonts w:ascii="Times New Roman" w:hAnsi="Times New Roman"/>
                <w:sz w:val="21"/>
                <w:szCs w:val="21"/>
              </w:rPr>
              <w:t>в возмещение ущерба 18,00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дотации бюджетам сельских поселений на выравнивание бюджетной обеспеченности из бюджетов субъекта Российской Федерации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5359036,62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прочие дотации бюджетам сельских поселений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25250,00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субси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дии бюджетам сельских поселений на реализацию</w:t>
            </w:r>
            <w:r w:rsidR="009310F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программ формирования современной городской среды 2500000,00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субвенции бюджетам сельских поселений на осуществление первичного воинского учета органами местного самоуправления поселений, муниципальных и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городских округов 185578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,00 рублей,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межбюджетные</w:t>
            </w:r>
            <w:proofErr w:type="gramEnd"/>
            <w:r w:rsidR="00176443" w:rsidRPr="00383CD4">
              <w:rPr>
                <w:rFonts w:ascii="Times New Roman" w:hAnsi="Times New Roman"/>
                <w:sz w:val="21"/>
                <w:szCs w:val="21"/>
              </w:rPr>
              <w:t xml:space="preserve">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371161,96 рублей, прочие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межбюджетные трансферты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, передаваемые бюджетам сельских поселений 2032886,20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</w:t>
            </w:r>
          </w:p>
        </w:tc>
      </w:tr>
      <w:tr w:rsidR="00BE3572" w:rsidRPr="00594CB2" w:rsidTr="00EC0281">
        <w:trPr>
          <w:gridBefore w:val="1"/>
          <w:wBefore w:w="108" w:type="dxa"/>
          <w:trHeight w:val="742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расходной части бюджета исполнение составило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12885061,66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, что составляет 99,09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% к уточненному плану расхода бюджета сельского поселения.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«Общегосударственные вопросы» расходы составили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3878101,99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1. Подраздел «Функционирование высшего должностного лица субъекта Российской Федерации и муниципального образования»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826387,33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рублей;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2. Подраздел «Функционирование Правительства Российской Федерации, высших органов исполнительной власти субъектов Российской Федерации, местных администраций» исполнено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2686160,26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рублей;         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3. Подраздел «Другие общегосударственные вопросы» исполнено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365554,40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            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«Национальная оборона» расходы составили </w:t>
            </w:r>
            <w:r w:rsidR="00176443" w:rsidRPr="00383CD4">
              <w:rPr>
                <w:rFonts w:ascii="Times New Roman" w:hAnsi="Times New Roman"/>
                <w:sz w:val="21"/>
                <w:szCs w:val="21"/>
              </w:rPr>
              <w:t>185578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,00 рублей.</w:t>
            </w:r>
          </w:p>
          <w:p w:rsidR="00176443" w:rsidRPr="00383CD4" w:rsidRDefault="00176443" w:rsidP="00176443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По разделу «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>Национальная безопасность и правоохранительная деятельность» исполнено 479372,84 рублей.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AE1500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«Национальная экономика» 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>895177,66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рублей, при плане 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>1012808,89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="00AE1500" w:rsidRPr="00383CD4">
              <w:rPr>
                <w:rFonts w:ascii="Times New Roman" w:hAnsi="Times New Roman"/>
                <w:sz w:val="21"/>
                <w:szCs w:val="21"/>
              </w:rPr>
              <w:t xml:space="preserve"> (88,39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% исполнение)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AE1500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1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 xml:space="preserve">. Подраздел «Дорожное хозяйство (дорожные фонды)»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874177,66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, при плане 991808,89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 xml:space="preserve"> рублей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88,14</w:t>
            </w:r>
            <w:r w:rsidR="009310FA">
              <w:rPr>
                <w:rFonts w:ascii="Times New Roman" w:hAnsi="Times New Roman"/>
                <w:sz w:val="21"/>
                <w:szCs w:val="21"/>
              </w:rPr>
              <w:t xml:space="preserve"> % исполнения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BE3572" w:rsidRPr="00383CD4" w:rsidRDefault="00AE1500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2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>. Подраздел «Другие вопросы в облас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ти национальной экономики» 21000</w:t>
            </w:r>
            <w:r w:rsidR="00BE3572" w:rsidRPr="00383CD4">
              <w:rPr>
                <w:rFonts w:ascii="Times New Roman" w:hAnsi="Times New Roman"/>
                <w:sz w:val="21"/>
                <w:szCs w:val="21"/>
              </w:rPr>
              <w:t>,00 рублей.</w:t>
            </w:r>
          </w:p>
          <w:p w:rsidR="00BE3572" w:rsidRPr="00383CD4" w:rsidRDefault="00BE3572" w:rsidP="00383CD4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«Жилищно-коммунальное хозяйство» расходы составили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6967797,55</w:t>
            </w:r>
            <w:r w:rsidR="00144230">
              <w:rPr>
                <w:rFonts w:ascii="Times New Roman" w:hAnsi="Times New Roman"/>
                <w:sz w:val="21"/>
                <w:szCs w:val="21"/>
              </w:rPr>
              <w:t xml:space="preserve"> рублей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</w:tr>
      <w:tr w:rsidR="00BE3572" w:rsidRPr="00594CB2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1. Подраздел «Коммунальное хозяйство»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443907,85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рублей;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>2. Подраздел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 xml:space="preserve"> «Благоустройство» 6523889,70 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«Образование» расходы составили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142149,24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«Культура, кинематография» расходы составили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268967,35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разделу «Физическая культура и спорт»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67917,03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рублей.</w:t>
            </w:r>
          </w:p>
          <w:p w:rsidR="00BE3572" w:rsidRPr="00383CD4" w:rsidRDefault="00BE3572" w:rsidP="00EC0281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83CD4">
              <w:rPr>
                <w:rFonts w:ascii="Times New Roman" w:hAnsi="Times New Roman"/>
                <w:sz w:val="21"/>
                <w:szCs w:val="21"/>
              </w:rPr>
              <w:t xml:space="preserve">По результатам внешней проверки отчета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сельского поселения за 2023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год, внешней проверки бюджетной отчетности главных распорядителей бюджетных средств, контрольно-счетный инспектор считает, что отчет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Евгащинского</w:t>
            </w:r>
            <w:proofErr w:type="spellEnd"/>
            <w:r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за 202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в представленном виде может быть признан достоверным и соответствующим нормам действующего бюджетного законодательства. В связи с чем, предлагаю отчет об исполнении бюджета </w:t>
            </w:r>
            <w:proofErr w:type="spellStart"/>
            <w:r w:rsidRPr="00383CD4">
              <w:rPr>
                <w:rFonts w:ascii="Times New Roman" w:hAnsi="Times New Roman"/>
                <w:sz w:val="21"/>
                <w:szCs w:val="21"/>
              </w:rPr>
              <w:t>Евгащинск</w:t>
            </w:r>
            <w:r w:rsidR="00383CD4" w:rsidRPr="00383CD4">
              <w:rPr>
                <w:rFonts w:ascii="Times New Roman" w:hAnsi="Times New Roman"/>
                <w:sz w:val="21"/>
                <w:szCs w:val="21"/>
              </w:rPr>
              <w:t>ого</w:t>
            </w:r>
            <w:proofErr w:type="spellEnd"/>
            <w:r w:rsidR="00383CD4" w:rsidRPr="00383CD4">
              <w:rPr>
                <w:rFonts w:ascii="Times New Roman" w:hAnsi="Times New Roman"/>
                <w:sz w:val="21"/>
                <w:szCs w:val="21"/>
              </w:rPr>
              <w:t xml:space="preserve"> сельского поселения  за 2023</w:t>
            </w:r>
            <w:r w:rsidRPr="00383CD4">
              <w:rPr>
                <w:rFonts w:ascii="Times New Roman" w:hAnsi="Times New Roman"/>
                <w:sz w:val="21"/>
                <w:szCs w:val="21"/>
              </w:rPr>
              <w:t xml:space="preserve"> год принять к утверждению.</w:t>
            </w:r>
          </w:p>
          <w:p w:rsidR="00383CD4" w:rsidRDefault="00383CD4" w:rsidP="00383CD4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83CD4" w:rsidRDefault="00383CD4" w:rsidP="00383CD4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83CD4" w:rsidRPr="00383CD4" w:rsidRDefault="009310FA" w:rsidP="009310FA">
            <w:pPr>
              <w:pStyle w:val="a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Контрольно-счетный инспектор                                                                                 Кузнецова С.В.                     </w:t>
            </w:r>
          </w:p>
        </w:tc>
      </w:tr>
      <w:tr w:rsidR="00BE3572" w:rsidRPr="007E77AB" w:rsidTr="00EC0281">
        <w:trPr>
          <w:gridBefore w:val="1"/>
          <w:wBefore w:w="108" w:type="dxa"/>
          <w:trHeight w:val="270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E3572" w:rsidRPr="007E77AB" w:rsidRDefault="00BE3572" w:rsidP="00BE3572">
            <w:pPr>
              <w:spacing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77E" w:rsidRDefault="00FD277E" w:rsidP="00383CD4"/>
    <w:sectPr w:rsidR="00FD277E" w:rsidSect="009310F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572"/>
    <w:rsid w:val="00004474"/>
    <w:rsid w:val="00133B49"/>
    <w:rsid w:val="00144230"/>
    <w:rsid w:val="00176443"/>
    <w:rsid w:val="00383CD4"/>
    <w:rsid w:val="0077097F"/>
    <w:rsid w:val="009310FA"/>
    <w:rsid w:val="00AE1500"/>
    <w:rsid w:val="00BE3572"/>
    <w:rsid w:val="00FD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57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FC2F-85EA-4BF6-9B91-BCEB9C67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2024-04-22T10:38:00Z</cp:lastPrinted>
  <dcterms:created xsi:type="dcterms:W3CDTF">2023-05-05T09:44:00Z</dcterms:created>
  <dcterms:modified xsi:type="dcterms:W3CDTF">2024-04-22T10:38:00Z</dcterms:modified>
</cp:coreProperties>
</file>